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E447B">
        <w:rPr>
          <w:rFonts w:asciiTheme="majorHAnsi" w:hAnsiTheme="majorHAnsi" w:cs="MyriadPro-Black"/>
          <w:caps/>
          <w:color w:val="A6A6A6"/>
          <w:sz w:val="40"/>
          <w:szCs w:val="40"/>
        </w:rPr>
        <w:t>2.1</w:t>
      </w:r>
    </w:p>
    <w:p w:rsidR="00B95143" w:rsidRDefault="00DD4D6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DC4ACA">
        <w:rPr>
          <w:rFonts w:asciiTheme="majorHAnsi" w:hAnsiTheme="majorHAnsi" w:cs="MyriadPro-Black"/>
          <w:caps/>
          <w:color w:val="A6A6A6"/>
          <w:sz w:val="40"/>
          <w:szCs w:val="40"/>
        </w:rPr>
        <w:t>82</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E447B">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5F5580">
        <w:rPr>
          <w:rFonts w:asciiTheme="majorHAnsi" w:eastAsia="MS Mincho" w:hAnsiTheme="majorHAnsi" w:cs="MyriadPro-Black"/>
          <w:caps/>
          <w:color w:val="000000"/>
          <w:sz w:val="32"/>
          <w:szCs w:val="40"/>
          <w:lang w:eastAsia="ja-JP"/>
        </w:rPr>
        <w:t>2</w:t>
      </w:r>
      <w:r w:rsidR="00717331">
        <w:rPr>
          <w:rFonts w:asciiTheme="majorHAnsi" w:eastAsia="MS Mincho" w:hAnsiTheme="majorHAnsi" w:cs="MyriadPro-Black"/>
          <w:caps/>
          <w:color w:val="000000"/>
          <w:sz w:val="32"/>
          <w:szCs w:val="40"/>
          <w:lang w:eastAsia="ja-JP"/>
        </w:rPr>
        <w:t>6</w:t>
      </w:r>
      <w:r w:rsidR="00F65FC9">
        <w:rPr>
          <w:rFonts w:asciiTheme="majorHAnsi" w:eastAsia="MS Mincho" w:hAnsiTheme="majorHAnsi" w:cs="MyriadPro-Black"/>
          <w:caps/>
          <w:color w:val="000000"/>
          <w:sz w:val="32"/>
          <w:szCs w:val="40"/>
          <w:lang w:eastAsia="ja-JP"/>
        </w:rPr>
        <w:t xml:space="preserve">. </w:t>
      </w:r>
      <w:r w:rsidR="00717331">
        <w:rPr>
          <w:rFonts w:asciiTheme="majorHAnsi" w:eastAsia="MS Mincho" w:hAnsiTheme="majorHAnsi" w:cs="MyriadPro-Black"/>
          <w:caps/>
          <w:color w:val="000000"/>
          <w:sz w:val="32"/>
          <w:szCs w:val="40"/>
          <w:lang w:eastAsia="ja-JP"/>
        </w:rPr>
        <w:t>6</w:t>
      </w:r>
      <w:r w:rsidR="00F65FC9">
        <w:rPr>
          <w:rFonts w:asciiTheme="majorHAnsi" w:eastAsia="MS Mincho" w:hAnsiTheme="majorHAnsi" w:cs="MyriadPro-Black"/>
          <w:caps/>
          <w:color w:val="000000"/>
          <w:sz w:val="32"/>
          <w:szCs w:val="40"/>
          <w:lang w:eastAsia="ja-JP"/>
        </w:rPr>
        <w:t>. 201</w:t>
      </w:r>
      <w:r w:rsidR="00DC4ACA">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do 30. 9. </w:t>
            </w:r>
            <w:r w:rsidR="0028225E">
              <w:rPr>
                <w:rFonts w:asciiTheme="minorHAnsi" w:hAnsiTheme="minorHAnsi" w:cstheme="minorHAnsi"/>
                <w:snapToGrid w:val="0"/>
                <w:sz w:val="22"/>
                <w:szCs w:val="22"/>
              </w:rPr>
              <w:lastRenderedPageBreak/>
              <w:t>2016</w:t>
            </w:r>
            <w:r w:rsidR="0028225E" w:rsidRPr="00A919D6">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nebo zákonem č.</w:t>
            </w:r>
            <w:r w:rsidR="00626514">
              <w:rPr>
                <w:rFonts w:asciiTheme="minorHAnsi" w:hAnsiTheme="minorHAnsi" w:cstheme="minorHAnsi"/>
                <w:snapToGrid w:val="0"/>
                <w:sz w:val="22"/>
                <w:szCs w:val="22"/>
              </w:rPr>
              <w:t> </w:t>
            </w:r>
            <w:r w:rsidR="0028225E">
              <w:rPr>
                <w:rFonts w:asciiTheme="minorHAnsi" w:hAnsiTheme="minorHAnsi" w:cstheme="minorHAnsi"/>
                <w:snapToGrid w:val="0"/>
                <w:sz w:val="22"/>
                <w:szCs w:val="22"/>
              </w:rPr>
              <w:t>134/2016 Sb., o zadávání veřejných zakázek (od 1. 10. 2016</w:t>
            </w:r>
            <w:r w:rsidR="0028225E" w:rsidRPr="00A919D6">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152CA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152CA2">
              <w:rPr>
                <w:rFonts w:asciiTheme="minorHAnsi" w:hAnsiTheme="minorHAnsi"/>
                <w:snapToGrid w:val="0"/>
                <w:sz w:val="22"/>
                <w:szCs w:val="22"/>
              </w:rPr>
              <w:t>2</w:t>
            </w:r>
            <w:r w:rsidR="00E678AA">
              <w:rPr>
                <w:rFonts w:asciiTheme="minorHAnsi" w:hAnsiTheme="minorHAnsi"/>
                <w:snapToGrid w:val="0"/>
                <w:sz w:val="22"/>
                <w:szCs w:val="22"/>
              </w:rPr>
              <w:t>1</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8225E">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xml:space="preserve">, že je realizace etapy </w:t>
            </w:r>
            <w:r>
              <w:rPr>
                <w:rFonts w:asciiTheme="minorHAnsi" w:hAnsiTheme="minorHAnsi"/>
                <w:snapToGrid w:val="0"/>
                <w:sz w:val="22"/>
                <w:szCs w:val="22"/>
              </w:rPr>
              <w:lastRenderedPageBreak/>
              <w:t>ukončena před schválením prvního Stanovení, je příjemce povinen předložit Zprávu o</w:t>
            </w:r>
            <w:r w:rsidR="00626514">
              <w:rPr>
                <w:rFonts w:asciiTheme="minorHAnsi" w:hAnsiTheme="minorHAnsi"/>
                <w:snapToGrid w:val="0"/>
                <w:sz w:val="22"/>
                <w:szCs w:val="22"/>
              </w:rPr>
              <w:t> </w:t>
            </w:r>
            <w:r>
              <w:rPr>
                <w:rFonts w:asciiTheme="minorHAnsi" w:hAnsiTheme="minorHAnsi"/>
                <w:snapToGrid w:val="0"/>
                <w:sz w:val="22"/>
                <w:szCs w:val="22"/>
              </w:rPr>
              <w:t>realizaci projektu a Žádost o</w:t>
            </w:r>
            <w:r w:rsidR="00626514">
              <w:rPr>
                <w:rFonts w:asciiTheme="minorHAnsi" w:hAnsiTheme="minorHAnsi"/>
                <w:snapToGrid w:val="0"/>
                <w:sz w:val="22"/>
                <w:szCs w:val="22"/>
              </w:rPr>
              <w:t> </w:t>
            </w:r>
            <w:r>
              <w:rPr>
                <w:rFonts w:asciiTheme="minorHAnsi" w:hAnsiTheme="minorHAnsi"/>
                <w:snapToGrid w:val="0"/>
                <w:sz w:val="22"/>
                <w:szCs w:val="22"/>
              </w:rPr>
              <w:t>platbu do dvaceti pracovních dnů od schválení prvního Stanovení.</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Pr="00FE6F34"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 realizaci projektu a Žádost o platbu do dvaceti pracovních dnů od schválení prvního Stanovení.</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2651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C767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6C767A">
              <w:rPr>
                <w:rFonts w:asciiTheme="minorHAnsi" w:hAnsiTheme="minorHAnsi"/>
                <w:snapToGrid w:val="0"/>
                <w:sz w:val="22"/>
                <w:szCs w:val="22"/>
              </w:rPr>
              <w:t>Naplnění indikátoru III. je příjemce povinen vykázat nejpozději při podání první zprávy o udržitelnosti.</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617103" w:rsidRPr="0011190C" w:rsidRDefault="00152CA2" w:rsidP="00152CA2">
            <w:pPr>
              <w:pStyle w:val="Odstavecseseznamem"/>
              <w:numPr>
                <w:ilvl w:val="0"/>
                <w:numId w:val="32"/>
              </w:numPr>
              <w:spacing w:after="120"/>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626514">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5D5B78" w:rsidRDefault="005D5B78" w:rsidP="005D5B78">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w:t>
            </w:r>
            <w:r w:rsidRPr="009F3819">
              <w:rPr>
                <w:rFonts w:asciiTheme="minorHAnsi" w:hAnsiTheme="minorHAnsi"/>
                <w:snapToGrid w:val="0"/>
                <w:sz w:val="22"/>
                <w:szCs w:val="22"/>
              </w:rPr>
              <w:t xml:space="preserve"> </w:t>
            </w:r>
            <w:r>
              <w:rPr>
                <w:rFonts w:asciiTheme="minorHAnsi" w:hAnsiTheme="minorHAnsi"/>
                <w:snapToGrid w:val="0"/>
                <w:sz w:val="22"/>
                <w:szCs w:val="22"/>
              </w:rPr>
              <w:t>peněžní prostředky vyplaceny</w:t>
            </w:r>
            <w:r w:rsidRPr="009F3819">
              <w:rPr>
                <w:rFonts w:asciiTheme="minorHAnsi" w:hAnsiTheme="minorHAnsi"/>
                <w:snapToGrid w:val="0"/>
                <w:sz w:val="22"/>
                <w:szCs w:val="22"/>
              </w:rPr>
              <w:t>.</w:t>
            </w:r>
          </w:p>
          <w:p w:rsidR="00AF3B54" w:rsidRPr="00466810" w:rsidRDefault="00152CA2" w:rsidP="00152CA2">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Pr>
                <w:rFonts w:asciiTheme="minorHAnsi" w:hAnsiTheme="minorHAnsi"/>
                <w:snapToGrid w:val="0"/>
                <w:sz w:val="22"/>
                <w:szCs w:val="22"/>
              </w:rPr>
              <w:t>na 100 % nebudou</w:t>
            </w:r>
            <w:r w:rsidRPr="00070269">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070269">
              <w:rPr>
                <w:rFonts w:asciiTheme="minorHAnsi" w:hAnsiTheme="minorHAnsi"/>
                <w:snapToGrid w:val="0"/>
                <w:sz w:val="22"/>
                <w:szCs w:val="22"/>
              </w:rPr>
              <w:t xml:space="preserve"> vyplacen</w:t>
            </w:r>
            <w:r>
              <w:rPr>
                <w:rFonts w:asciiTheme="minorHAnsi" w:hAnsiTheme="minorHAnsi"/>
                <w:snapToGrid w:val="0"/>
                <w:sz w:val="22"/>
                <w:szCs w:val="22"/>
              </w:rPr>
              <w:t>y</w:t>
            </w:r>
            <w:r w:rsidRPr="00070269">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E63F7F" w:rsidRPr="0011190C" w:rsidRDefault="00152CA2" w:rsidP="00152CA2">
            <w:pPr>
              <w:pStyle w:val="Odstavecseseznamem"/>
              <w:numPr>
                <w:ilvl w:val="0"/>
                <w:numId w:val="35"/>
              </w:numPr>
              <w:spacing w:after="120"/>
              <w:ind w:left="743" w:hanging="567"/>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1420D1" w:rsidRDefault="001420D1" w:rsidP="001420D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vyplacených peněžních prostředků.</w:t>
            </w:r>
          </w:p>
          <w:p w:rsidR="00E63F7F" w:rsidRPr="006B4253" w:rsidRDefault="00152CA2" w:rsidP="00152CA2">
            <w:pPr>
              <w:spacing w:after="120"/>
              <w:ind w:right="-2"/>
              <w:jc w:val="both"/>
            </w:pPr>
            <w:r w:rsidRPr="00070269">
              <w:rPr>
                <w:rFonts w:asciiTheme="minorHAnsi" w:hAnsiTheme="minorHAnsi"/>
                <w:sz w:val="22"/>
                <w:szCs w:val="22"/>
              </w:rPr>
              <w:t>V případě neudržení cílové hodnoty indi</w:t>
            </w:r>
            <w:r>
              <w:rPr>
                <w:rFonts w:asciiTheme="minorHAnsi" w:hAnsiTheme="minorHAnsi"/>
                <w:sz w:val="22"/>
                <w:szCs w:val="22"/>
              </w:rPr>
              <w:t>kátorů II. a III. na 100 </w:t>
            </w:r>
            <w:r w:rsidRPr="00070269">
              <w:rPr>
                <w:rFonts w:asciiTheme="minorHAnsi" w:hAnsiTheme="minorHAnsi"/>
                <w:sz w:val="22"/>
                <w:szCs w:val="22"/>
              </w:rPr>
              <w:t xml:space="preserve">%, bude </w:t>
            </w:r>
            <w:r>
              <w:rPr>
                <w:rFonts w:asciiTheme="minorHAnsi" w:hAnsiTheme="minorHAnsi"/>
                <w:sz w:val="22"/>
                <w:szCs w:val="22"/>
              </w:rPr>
              <w:t>vrácena celková částka vyplacených peněžních prostředků</w:t>
            </w:r>
            <w:r w:rsidRPr="00070269">
              <w:rPr>
                <w:rFonts w:asciiTheme="minorHAnsi" w:hAnsiTheme="minorHAnsi"/>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26514">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626514">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E678AA">
            <w:pPr>
              <w:spacing w:after="120"/>
              <w:jc w:val="both"/>
              <w:rPr>
                <w:rFonts w:asciiTheme="minorHAnsi" w:hAnsiTheme="minorHAnsi"/>
                <w:sz w:val="22"/>
                <w:szCs w:val="22"/>
              </w:rPr>
            </w:pPr>
            <w:r>
              <w:rPr>
                <w:rFonts w:asciiTheme="minorHAnsi" w:hAnsiTheme="minorHAnsi"/>
                <w:sz w:val="22"/>
                <w:szCs w:val="22"/>
              </w:rPr>
              <w:t>1</w:t>
            </w:r>
            <w:r w:rsidR="00E678AA">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rsidR="00152CA2" w:rsidRPr="00F04B75"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musí být pověřen k výkonu SOHZ v souladu s Rozhodnutím 2012/21/EU nejméně do konce doby udržitelnosti projektu. </w:t>
            </w:r>
          </w:p>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Pokud bude příjemce pověřen více pověřovacími akty, je povinen zajistit jejich kontinuální návaznost.</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bl>
    <w:p w:rsidR="00F271BA" w:rsidRDefault="00F271BA" w:rsidP="00F271BA">
      <w:pPr>
        <w:widowControl w:val="0"/>
        <w:spacing w:after="120"/>
        <w:ind w:right="-2"/>
        <w:jc w:val="both"/>
        <w:rPr>
          <w:snapToGrid w:val="0"/>
        </w:rPr>
      </w:pPr>
    </w:p>
    <w:p w:rsidR="002C0AA6" w:rsidRPr="007B3553" w:rsidRDefault="002C0AA6" w:rsidP="00152CA2">
      <w:pPr>
        <w:pStyle w:val="Prosttext"/>
        <w:numPr>
          <w:ilvl w:val="0"/>
          <w:numId w:val="44"/>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00587D37">
        <w:rPr>
          <w:rFonts w:asciiTheme="minorHAnsi" w:hAnsiTheme="minorHAnsi"/>
          <w:sz w:val="24"/>
        </w:rPr>
        <w:t> </w:t>
      </w:r>
      <w:r w:rsidRPr="0070094A">
        <w:rPr>
          <w:rFonts w:asciiTheme="minorHAnsi" w:hAnsiTheme="minorHAnsi"/>
          <w:sz w:val="24"/>
        </w:rPr>
        <w:t>ZVZ</w:t>
      </w:r>
      <w:r w:rsidR="00587D37">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w:t>
      </w:r>
      <w:r w:rsidR="00587D37">
        <w:rPr>
          <w:rFonts w:asciiTheme="minorHAnsi" w:hAnsiTheme="minorHAnsi" w:cs="Arial"/>
          <w:sz w:val="24"/>
          <w:szCs w:val="24"/>
        </w:rPr>
        <w:t xml:space="preserve"> ZZVZ,</w:t>
      </w:r>
      <w:r w:rsidRPr="00990862">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924E1">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924E1">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A77D0F"/>
    <w:multiLevelType w:val="hybridMultilevel"/>
    <w:tmpl w:val="6FA6A8FA"/>
    <w:lvl w:ilvl="0" w:tplc="247E7CF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914999"/>
    <w:multiLevelType w:val="hybridMultilevel"/>
    <w:tmpl w:val="F69A3CA6"/>
    <w:lvl w:ilvl="0" w:tplc="1ED08F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2A4502F"/>
    <w:multiLevelType w:val="hybridMultilevel"/>
    <w:tmpl w:val="A2A040C6"/>
    <w:lvl w:ilvl="0" w:tplc="09382B1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293150B"/>
    <w:multiLevelType w:val="hybridMultilevel"/>
    <w:tmpl w:val="FD78833E"/>
    <w:lvl w:ilvl="0" w:tplc="D1985A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E9A0A56"/>
    <w:multiLevelType w:val="hybridMultilevel"/>
    <w:tmpl w:val="615EB23C"/>
    <w:lvl w:ilvl="0" w:tplc="F8209E12">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075E01"/>
    <w:multiLevelType w:val="hybridMultilevel"/>
    <w:tmpl w:val="3EBC44A2"/>
    <w:lvl w:ilvl="0" w:tplc="5A6C77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5461A"/>
    <w:multiLevelType w:val="hybridMultilevel"/>
    <w:tmpl w:val="09C07298"/>
    <w:lvl w:ilvl="0" w:tplc="363E515E">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274C72"/>
    <w:multiLevelType w:val="hybridMultilevel"/>
    <w:tmpl w:val="EA3C97B0"/>
    <w:lvl w:ilvl="0" w:tplc="F3EAED3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2"/>
  </w:num>
  <w:num w:numId="3">
    <w:abstractNumId w:val="9"/>
  </w:num>
  <w:num w:numId="4">
    <w:abstractNumId w:val="4"/>
  </w:num>
  <w:num w:numId="5">
    <w:abstractNumId w:val="23"/>
  </w:num>
  <w:num w:numId="6">
    <w:abstractNumId w:val="15"/>
  </w:num>
  <w:num w:numId="7">
    <w:abstractNumId w:val="14"/>
  </w:num>
  <w:num w:numId="8">
    <w:abstractNumId w:val="6"/>
  </w:num>
  <w:num w:numId="9">
    <w:abstractNumId w:val="8"/>
  </w:num>
  <w:num w:numId="10">
    <w:abstractNumId w:val="21"/>
  </w:num>
  <w:num w:numId="11">
    <w:abstractNumId w:val="34"/>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7"/>
  </w:num>
  <w:num w:numId="21">
    <w:abstractNumId w:val="13"/>
  </w:num>
  <w:num w:numId="22">
    <w:abstractNumId w:val="18"/>
  </w:num>
  <w:num w:numId="23">
    <w:abstractNumId w:val="4"/>
  </w:num>
  <w:num w:numId="24">
    <w:abstractNumId w:val="17"/>
  </w:num>
  <w:num w:numId="25">
    <w:abstractNumId w:val="2"/>
  </w:num>
  <w:num w:numId="26">
    <w:abstractNumId w:val="36"/>
  </w:num>
  <w:num w:numId="27">
    <w:abstractNumId w:val="29"/>
  </w:num>
  <w:num w:numId="28">
    <w:abstractNumId w:val="35"/>
  </w:num>
  <w:num w:numId="29">
    <w:abstractNumId w:val="39"/>
  </w:num>
  <w:num w:numId="30">
    <w:abstractNumId w:val="11"/>
  </w:num>
  <w:num w:numId="31">
    <w:abstractNumId w:val="5"/>
  </w:num>
  <w:num w:numId="32">
    <w:abstractNumId w:val="22"/>
  </w:num>
  <w:num w:numId="33">
    <w:abstractNumId w:val="31"/>
  </w:num>
  <w:num w:numId="34">
    <w:abstractNumId w:val="20"/>
  </w:num>
  <w:num w:numId="35">
    <w:abstractNumId w:val="25"/>
  </w:num>
  <w:num w:numId="36">
    <w:abstractNumId w:val="16"/>
  </w:num>
  <w:num w:numId="37">
    <w:abstractNumId w:val="33"/>
  </w:num>
  <w:num w:numId="38">
    <w:abstractNumId w:val="28"/>
  </w:num>
  <w:num w:numId="39">
    <w:abstractNumId w:val="26"/>
  </w:num>
  <w:num w:numId="40">
    <w:abstractNumId w:val="30"/>
  </w:num>
  <w:num w:numId="41">
    <w:abstractNumId w:val="40"/>
  </w:num>
  <w:num w:numId="42">
    <w:abstractNumId w:val="19"/>
  </w:num>
  <w:num w:numId="43">
    <w:abstractNumId w:val="7"/>
  </w:num>
  <w:num w:numId="44">
    <w:abstractNumId w:val="37"/>
  </w:num>
  <w:num w:numId="4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257D"/>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837"/>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0C"/>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0D1"/>
    <w:rsid w:val="00142936"/>
    <w:rsid w:val="001430DE"/>
    <w:rsid w:val="00143563"/>
    <w:rsid w:val="00143A09"/>
    <w:rsid w:val="0014467A"/>
    <w:rsid w:val="00145805"/>
    <w:rsid w:val="00145DB8"/>
    <w:rsid w:val="0014630A"/>
    <w:rsid w:val="00151CE7"/>
    <w:rsid w:val="00151EFF"/>
    <w:rsid w:val="00152CA2"/>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4E1"/>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25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4261"/>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66810"/>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D37"/>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5B78"/>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5580"/>
    <w:rsid w:val="005F6DCB"/>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514"/>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87ACC"/>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C767A"/>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331"/>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500"/>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1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323B"/>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14D"/>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47B"/>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4ACA"/>
    <w:rsid w:val="00DC52E3"/>
    <w:rsid w:val="00DC5BF0"/>
    <w:rsid w:val="00DC68FE"/>
    <w:rsid w:val="00DC6DF4"/>
    <w:rsid w:val="00DD028F"/>
    <w:rsid w:val="00DD0613"/>
    <w:rsid w:val="00DD16BD"/>
    <w:rsid w:val="00DD19EA"/>
    <w:rsid w:val="00DD1DEF"/>
    <w:rsid w:val="00DD3C82"/>
    <w:rsid w:val="00DD46DF"/>
    <w:rsid w:val="00DD4D61"/>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1BA2"/>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8AA"/>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5FC9"/>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5:docId w15:val="{8A492846-39D2-4ACA-A106-3AE17EF4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77801110">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71423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85D8-C1FD-45E5-84FA-389227A4F993}">
  <ds:schemaRefs>
    <ds:schemaRef ds:uri="http://schemas.openxmlformats.org/officeDocument/2006/bibliography"/>
  </ds:schemaRefs>
</ds:datastoreItem>
</file>

<file path=customXml/itemProps10.xml><?xml version="1.0" encoding="utf-8"?>
<ds:datastoreItem xmlns:ds="http://schemas.openxmlformats.org/officeDocument/2006/customXml" ds:itemID="{C2ACD601-08DD-4AA7-AFDD-93CF84410932}">
  <ds:schemaRefs>
    <ds:schemaRef ds:uri="http://schemas.openxmlformats.org/officeDocument/2006/bibliography"/>
  </ds:schemaRefs>
</ds:datastoreItem>
</file>

<file path=customXml/itemProps11.xml><?xml version="1.0" encoding="utf-8"?>
<ds:datastoreItem xmlns:ds="http://schemas.openxmlformats.org/officeDocument/2006/customXml" ds:itemID="{11F1C8FE-9026-4E63-B7DD-5648317E816A}">
  <ds:schemaRefs>
    <ds:schemaRef ds:uri="http://schemas.openxmlformats.org/officeDocument/2006/bibliography"/>
  </ds:schemaRefs>
</ds:datastoreItem>
</file>

<file path=customXml/itemProps12.xml><?xml version="1.0" encoding="utf-8"?>
<ds:datastoreItem xmlns:ds="http://schemas.openxmlformats.org/officeDocument/2006/customXml" ds:itemID="{07608988-C39D-40B8-B0EA-93D4BF6424D9}">
  <ds:schemaRefs>
    <ds:schemaRef ds:uri="http://schemas.openxmlformats.org/officeDocument/2006/bibliography"/>
  </ds:schemaRefs>
</ds:datastoreItem>
</file>

<file path=customXml/itemProps13.xml><?xml version="1.0" encoding="utf-8"?>
<ds:datastoreItem xmlns:ds="http://schemas.openxmlformats.org/officeDocument/2006/customXml" ds:itemID="{66600F68-FEE9-46B6-AED7-E24DE92187A7}">
  <ds:schemaRefs>
    <ds:schemaRef ds:uri="http://schemas.openxmlformats.org/officeDocument/2006/bibliography"/>
  </ds:schemaRefs>
</ds:datastoreItem>
</file>

<file path=customXml/itemProps14.xml><?xml version="1.0" encoding="utf-8"?>
<ds:datastoreItem xmlns:ds="http://schemas.openxmlformats.org/officeDocument/2006/customXml" ds:itemID="{BB6A0F28-8BBA-4D4A-8A9D-9D8718233EE7}">
  <ds:schemaRefs>
    <ds:schemaRef ds:uri="http://schemas.openxmlformats.org/officeDocument/2006/bibliography"/>
  </ds:schemaRefs>
</ds:datastoreItem>
</file>

<file path=customXml/itemProps15.xml><?xml version="1.0" encoding="utf-8"?>
<ds:datastoreItem xmlns:ds="http://schemas.openxmlformats.org/officeDocument/2006/customXml" ds:itemID="{AF64FB91-9A8B-49BD-B513-733B8D4DFD0D}">
  <ds:schemaRefs>
    <ds:schemaRef ds:uri="http://schemas.openxmlformats.org/officeDocument/2006/bibliography"/>
  </ds:schemaRefs>
</ds:datastoreItem>
</file>

<file path=customXml/itemProps16.xml><?xml version="1.0" encoding="utf-8"?>
<ds:datastoreItem xmlns:ds="http://schemas.openxmlformats.org/officeDocument/2006/customXml" ds:itemID="{25A8C8A1-59EC-44C9-95E8-9572D043E2DB}">
  <ds:schemaRefs>
    <ds:schemaRef ds:uri="http://schemas.openxmlformats.org/officeDocument/2006/bibliography"/>
  </ds:schemaRefs>
</ds:datastoreItem>
</file>

<file path=customXml/itemProps17.xml><?xml version="1.0" encoding="utf-8"?>
<ds:datastoreItem xmlns:ds="http://schemas.openxmlformats.org/officeDocument/2006/customXml" ds:itemID="{CC7CCD6D-00B7-496E-907A-C4C5DE60471C}">
  <ds:schemaRefs>
    <ds:schemaRef ds:uri="http://schemas.openxmlformats.org/officeDocument/2006/bibliography"/>
  </ds:schemaRefs>
</ds:datastoreItem>
</file>

<file path=customXml/itemProps18.xml><?xml version="1.0" encoding="utf-8"?>
<ds:datastoreItem xmlns:ds="http://schemas.openxmlformats.org/officeDocument/2006/customXml" ds:itemID="{A20EB0CD-3A97-4BA9-B091-5F27DF363074}">
  <ds:schemaRefs>
    <ds:schemaRef ds:uri="http://schemas.openxmlformats.org/officeDocument/2006/bibliography"/>
  </ds:schemaRefs>
</ds:datastoreItem>
</file>

<file path=customXml/itemProps19.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2.xml><?xml version="1.0" encoding="utf-8"?>
<ds:datastoreItem xmlns:ds="http://schemas.openxmlformats.org/officeDocument/2006/customXml" ds:itemID="{F3C8C11A-E63B-489A-A878-1E1E526B35D3}">
  <ds:schemaRefs>
    <ds:schemaRef ds:uri="http://schemas.openxmlformats.org/officeDocument/2006/bibliography"/>
  </ds:schemaRefs>
</ds:datastoreItem>
</file>

<file path=customXml/itemProps20.xml><?xml version="1.0" encoding="utf-8"?>
<ds:datastoreItem xmlns:ds="http://schemas.openxmlformats.org/officeDocument/2006/customXml" ds:itemID="{554EC0A0-537B-4543-9191-2DCC1BB10789}">
  <ds:schemaRefs>
    <ds:schemaRef ds:uri="http://schemas.openxmlformats.org/officeDocument/2006/bibliography"/>
  </ds:schemaRefs>
</ds:datastoreItem>
</file>

<file path=customXml/itemProps21.xml><?xml version="1.0" encoding="utf-8"?>
<ds:datastoreItem xmlns:ds="http://schemas.openxmlformats.org/officeDocument/2006/customXml" ds:itemID="{DFB15AED-3F4C-4C8D-8A03-1C67CE1F76BB}">
  <ds:schemaRefs>
    <ds:schemaRef ds:uri="http://schemas.openxmlformats.org/officeDocument/2006/bibliography"/>
  </ds:schemaRefs>
</ds:datastoreItem>
</file>

<file path=customXml/itemProps22.xml><?xml version="1.0" encoding="utf-8"?>
<ds:datastoreItem xmlns:ds="http://schemas.openxmlformats.org/officeDocument/2006/customXml" ds:itemID="{FA1FAA81-259D-4226-821C-BAD92A663A1A}">
  <ds:schemaRefs>
    <ds:schemaRef ds:uri="http://schemas.openxmlformats.org/officeDocument/2006/bibliography"/>
  </ds:schemaRefs>
</ds:datastoreItem>
</file>

<file path=customXml/itemProps3.xml><?xml version="1.0" encoding="utf-8"?>
<ds:datastoreItem xmlns:ds="http://schemas.openxmlformats.org/officeDocument/2006/customXml" ds:itemID="{16219A76-64E4-40C0-9EEC-99EDE8820EDF}">
  <ds:schemaRefs>
    <ds:schemaRef ds:uri="http://schemas.openxmlformats.org/officeDocument/2006/bibliography"/>
  </ds:schemaRefs>
</ds:datastoreItem>
</file>

<file path=customXml/itemProps4.xml><?xml version="1.0" encoding="utf-8"?>
<ds:datastoreItem xmlns:ds="http://schemas.openxmlformats.org/officeDocument/2006/customXml" ds:itemID="{280EB801-CD57-4F02-A63A-C47579559319}">
  <ds:schemaRefs>
    <ds:schemaRef ds:uri="http://schemas.openxmlformats.org/officeDocument/2006/bibliography"/>
  </ds:schemaRefs>
</ds:datastoreItem>
</file>

<file path=customXml/itemProps5.xml><?xml version="1.0" encoding="utf-8"?>
<ds:datastoreItem xmlns:ds="http://schemas.openxmlformats.org/officeDocument/2006/customXml" ds:itemID="{0A6DDD78-5D3A-4B52-B2B2-ED2F50896B44}">
  <ds:schemaRefs>
    <ds:schemaRef ds:uri="http://schemas.openxmlformats.org/officeDocument/2006/bibliography"/>
  </ds:schemaRefs>
</ds:datastoreItem>
</file>

<file path=customXml/itemProps6.xml><?xml version="1.0" encoding="utf-8"?>
<ds:datastoreItem xmlns:ds="http://schemas.openxmlformats.org/officeDocument/2006/customXml" ds:itemID="{1535E049-9831-4884-AC8A-269AFF769C6B}">
  <ds:schemaRefs>
    <ds:schemaRef ds:uri="http://schemas.openxmlformats.org/officeDocument/2006/bibliography"/>
  </ds:schemaRefs>
</ds:datastoreItem>
</file>

<file path=customXml/itemProps7.xml><?xml version="1.0" encoding="utf-8"?>
<ds:datastoreItem xmlns:ds="http://schemas.openxmlformats.org/officeDocument/2006/customXml" ds:itemID="{D9CCFF04-A0DE-4618-A0D7-28525D6ABA45}">
  <ds:schemaRefs>
    <ds:schemaRef ds:uri="http://schemas.openxmlformats.org/officeDocument/2006/bibliography"/>
  </ds:schemaRefs>
</ds:datastoreItem>
</file>

<file path=customXml/itemProps8.xml><?xml version="1.0" encoding="utf-8"?>
<ds:datastoreItem xmlns:ds="http://schemas.openxmlformats.org/officeDocument/2006/customXml" ds:itemID="{4A4CD721-A2D9-4714-9CE6-E727C452F28C}">
  <ds:schemaRefs>
    <ds:schemaRef ds:uri="http://schemas.openxmlformats.org/officeDocument/2006/bibliography"/>
  </ds:schemaRefs>
</ds:datastoreItem>
</file>

<file path=customXml/itemProps9.xml><?xml version="1.0" encoding="utf-8"?>
<ds:datastoreItem xmlns:ds="http://schemas.openxmlformats.org/officeDocument/2006/customXml" ds:itemID="{0F0AAF9F-3A39-421A-A47A-696890B22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2896</Words>
  <Characters>17087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31</cp:revision>
  <cp:lastPrinted>2015-09-16T08:02:00Z</cp:lastPrinted>
  <dcterms:created xsi:type="dcterms:W3CDTF">2016-05-16T11:35:00Z</dcterms:created>
  <dcterms:modified xsi:type="dcterms:W3CDTF">2018-06-26T05:58:00Z</dcterms:modified>
</cp:coreProperties>
</file>